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8"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7293"/>
        <w:gridCol w:w="1529"/>
        <w:gridCol w:w="816"/>
      </w:tblGrid>
      <w:tr>
        <w:trPr/>
        <w:tc>
          <w:tcPr>
            <w:tcW w:w="7293" w:type="dxa"/>
            <w:tcBorders>
              <w:top w:val="single" w:sz="2" w:space="0" w:color="000000"/>
              <w:left w:val="single" w:sz="2" w:space="0" w:color="000000"/>
              <w:bottom w:val="single" w:sz="2" w:space="0" w:color="000000"/>
              <w:insideH w:val="single" w:sz="2" w:space="0" w:color="000000"/>
            </w:tcBorders>
            <w:shd w:fill="auto" w:val="clear"/>
          </w:tcPr>
          <w:p>
            <w:pPr>
              <w:pStyle w:val="Heading4"/>
              <w:spacing w:before="120" w:after="120"/>
              <w:rPr/>
            </w:pPr>
            <w:r>
              <w:rPr/>
              <w:t>Die Schülerinnen und Schüler …</w:t>
            </w:r>
          </w:p>
        </w:tc>
        <w:tc>
          <w:tcPr>
            <w:tcW w:w="1529" w:type="dxa"/>
            <w:tcBorders>
              <w:top w:val="single" w:sz="2" w:space="0" w:color="000000"/>
              <w:bottom w:val="single" w:sz="2" w:space="0" w:color="000000"/>
              <w:insideH w:val="single" w:sz="2" w:space="0" w:color="000000"/>
            </w:tcBorders>
            <w:shd w:fill="auto" w:val="clear"/>
          </w:tcPr>
          <w:p>
            <w:pPr>
              <w:pStyle w:val="Heading4"/>
              <w:spacing w:before="120" w:after="120"/>
              <w:rPr/>
            </w:pPr>
            <w:r>
              <w:rPr/>
              <w:t xml:space="preserve">Buch S. </w:t>
            </w:r>
          </w:p>
        </w:tc>
        <w:tc>
          <w:tcPr>
            <w:tcW w:w="816" w:type="dxa"/>
            <w:tcBorders>
              <w:top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Heading4"/>
              <w:spacing w:before="120" w:after="120"/>
              <w:rPr/>
            </w:pPr>
            <w:r>
              <w:rPr/>
            </w:r>
          </w:p>
        </w:tc>
      </w:tr>
      <w:tr>
        <w:trPr/>
        <w:tc>
          <w:tcPr>
            <w:tcW w:w="7293"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t>beschreiben Merkmale unterschiedlicher Lebewesen unter Verwendung eines einfachen Artbegriffs (Art als Fortpflanzungsgemeinschaft)</w:t>
              <w:br/>
            </w:r>
            <w:r>
              <w:rPr>
                <w:rStyle w:val="Emphasis"/>
              </w:rPr>
              <w:t xml:space="preserve">Es ist kaum zu glauben, alle Hunde sind untereinander zeugungsfähig. Obwohl die einen riesig, die anderen sehr klein sind, können diese Hunde miteinander zeugungsfähige Nachkommen zeugen. Alle Lebewesen, die dies tun können, gehören zu einer Art. </w:t>
            </w:r>
          </w:p>
        </w:tc>
        <w:tc>
          <w:tcPr>
            <w:tcW w:w="1529" w:type="dxa"/>
            <w:tcBorders>
              <w:bottom w:val="single" w:sz="2" w:space="0" w:color="000000"/>
              <w:insideH w:val="single" w:sz="2" w:space="0" w:color="000000"/>
            </w:tcBorders>
            <w:shd w:fill="auto" w:val="clear"/>
          </w:tcPr>
          <w:p>
            <w:pPr>
              <w:pStyle w:val="TextBody"/>
              <w:spacing w:lineRule="auto" w:line="276" w:before="0" w:after="140"/>
              <w:rPr/>
            </w:pPr>
            <w:r>
              <w:rPr/>
            </w:r>
          </w:p>
        </w:tc>
        <w:tc>
          <w:tcPr>
            <w:tcW w:w="816"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7293"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t>beschreiben homologe und analoge Strukturen.</w:t>
              <w:br/>
            </w:r>
            <w:r>
              <w:rPr>
                <w:rStyle w:val="Emphasis"/>
              </w:rPr>
              <w:t xml:space="preserve">Tiere, die sich durch das Erdreich graben, haben ähnliche vordere Gliedmaßen. Obwohl die einen Insekten sind und die anderen Säugetiere. </w:t>
              <w:br/>
              <w:t xml:space="preserve">Fledermäuse können mit ihren Armen fliegen, dass können wir nicht. Beide haben den gleichen Skelettaufbau. </w:t>
            </w:r>
          </w:p>
        </w:tc>
        <w:tc>
          <w:tcPr>
            <w:tcW w:w="1529" w:type="dxa"/>
            <w:tcBorders>
              <w:bottom w:val="single" w:sz="2" w:space="0" w:color="000000"/>
              <w:insideH w:val="single" w:sz="2" w:space="0" w:color="000000"/>
            </w:tcBorders>
            <w:shd w:fill="auto" w:val="clear"/>
          </w:tcPr>
          <w:p>
            <w:pPr>
              <w:pStyle w:val="TextBody"/>
              <w:spacing w:lineRule="auto" w:line="276" w:before="0" w:after="140"/>
              <w:rPr/>
            </w:pPr>
            <w:r>
              <w:rPr/>
            </w:r>
          </w:p>
        </w:tc>
        <w:tc>
          <w:tcPr>
            <w:tcW w:w="816"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7293"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t>beschreiben unterschiedliche Kriterien (z. B. Brückentiere, homologe und analoge Organe, Atavismen, rudimentäre Organe) als Belege für evolutionäre Veränderungen.</w:t>
              <w:br/>
            </w:r>
            <w:r>
              <w:rPr>
                <w:i/>
                <w:iCs/>
              </w:rPr>
              <w:t>Evolutionäre Veränderungen sind manchmal spektakulär. Es gibt einige sehenswerte Erscheinungen. Stelle eine Liste deiner Favoriten zusammen.</w:t>
            </w:r>
          </w:p>
        </w:tc>
        <w:tc>
          <w:tcPr>
            <w:tcW w:w="1529" w:type="dxa"/>
            <w:tcBorders>
              <w:bottom w:val="single" w:sz="2" w:space="0" w:color="000000"/>
              <w:insideH w:val="single" w:sz="2" w:space="0" w:color="000000"/>
            </w:tcBorders>
            <w:shd w:fill="auto" w:val="clear"/>
          </w:tcPr>
          <w:p>
            <w:pPr>
              <w:pStyle w:val="TextBody"/>
              <w:spacing w:lineRule="auto" w:line="276" w:before="0" w:after="140"/>
              <w:rPr/>
            </w:pPr>
            <w:r>
              <w:rPr/>
            </w:r>
          </w:p>
        </w:tc>
        <w:tc>
          <w:tcPr>
            <w:tcW w:w="816"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7293"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t>beschreiben die Entstehung unterschiedlicher Lebewesen unter Verwendung der Entwicklungstheorien von Darwin und Lamarck</w:t>
              <w:br/>
            </w:r>
            <w:r>
              <w:rPr>
                <w:rStyle w:val="Emphasis"/>
              </w:rPr>
              <w:t xml:space="preserve">Nur wer die Veränderungen von Lebewesen über viele Generationen beobachten kann, hat die Chance gewisse Anpassungen an die Umweltbedingungen festzustellen. </w:t>
            </w:r>
          </w:p>
        </w:tc>
        <w:tc>
          <w:tcPr>
            <w:tcW w:w="1529" w:type="dxa"/>
            <w:tcBorders>
              <w:bottom w:val="single" w:sz="2" w:space="0" w:color="000000"/>
              <w:insideH w:val="single" w:sz="2" w:space="0" w:color="000000"/>
            </w:tcBorders>
            <w:shd w:fill="auto" w:val="clear"/>
          </w:tcPr>
          <w:p>
            <w:pPr>
              <w:pStyle w:val="TextBody"/>
              <w:spacing w:lineRule="auto" w:line="276" w:before="0" w:after="140"/>
              <w:rPr/>
            </w:pPr>
            <w:r>
              <w:rPr/>
            </w:r>
          </w:p>
        </w:tc>
        <w:tc>
          <w:tcPr>
            <w:tcW w:w="816"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7293"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rStyle w:val="StrongEmphasis"/>
              </w:rPr>
              <w:t>erläutern die Darwinsche Evolutionstheorie durch das Zusammenspiel von genetischer Variabilität (Mutation, Rekombination) und Selektion.</w:t>
              <w:br/>
            </w:r>
            <w:r>
              <w:rPr>
                <w:rStyle w:val="Emphasis"/>
              </w:rPr>
              <w:t xml:space="preserve">Wer überlebt und Nachkommen zeugt, hat evolutionär gewonnen. Wer keine Nachkommen zeugt, kann die eigenen Erbinformationen nicht an die Nachkommen weitergeben. Dieser Prozess nennt sich Evolution. </w:t>
            </w:r>
          </w:p>
        </w:tc>
        <w:tc>
          <w:tcPr>
            <w:tcW w:w="1529" w:type="dxa"/>
            <w:tcBorders>
              <w:bottom w:val="single" w:sz="2" w:space="0" w:color="000000"/>
              <w:insideH w:val="single" w:sz="2" w:space="0" w:color="000000"/>
            </w:tcBorders>
            <w:shd w:fill="auto" w:val="clear"/>
          </w:tcPr>
          <w:p>
            <w:pPr>
              <w:pStyle w:val="TextBody"/>
              <w:spacing w:lineRule="auto" w:line="276" w:before="0" w:after="140"/>
              <w:rPr/>
            </w:pPr>
            <w:r>
              <w:rPr/>
            </w:r>
          </w:p>
        </w:tc>
        <w:tc>
          <w:tcPr>
            <w:tcW w:w="816"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7293"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t>erklären beispielhaft die Bedeutung von genetischer Variabilität für die evolutive Entwicklung.</w:t>
              <w:br/>
            </w:r>
            <w:r>
              <w:rPr>
                <w:rStyle w:val="Emphasis"/>
              </w:rPr>
              <w:t xml:space="preserve">Wären alle Nachkommen gleich, dann könnte eine Krankheit die gesamte Nachkommenschaft töten. Zum Glück unterscheiden sich Nachkommen immer ein wenig voneinander, so dass eine Krankheit nicht immer gleich alle Nachkommen tötet. </w:t>
            </w:r>
          </w:p>
        </w:tc>
        <w:tc>
          <w:tcPr>
            <w:tcW w:w="1529" w:type="dxa"/>
            <w:tcBorders>
              <w:bottom w:val="single" w:sz="2" w:space="0" w:color="000000"/>
              <w:insideH w:val="single" w:sz="2" w:space="0" w:color="000000"/>
            </w:tcBorders>
            <w:shd w:fill="auto" w:val="clear"/>
          </w:tcPr>
          <w:p>
            <w:pPr>
              <w:pStyle w:val="TextBody"/>
              <w:spacing w:lineRule="auto" w:line="276" w:before="0" w:after="140"/>
              <w:rPr/>
            </w:pPr>
            <w:r>
              <w:rPr/>
            </w:r>
          </w:p>
        </w:tc>
        <w:tc>
          <w:tcPr>
            <w:tcW w:w="816"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7293"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t>erläutern die Bedeutung von genetischer Variabilität für die evolutive Entwicklung an weiteren Beispielen.</w:t>
              <w:br/>
            </w:r>
            <w:r>
              <w:rPr>
                <w:rStyle w:val="Emphasis"/>
              </w:rPr>
              <w:t xml:space="preserve">Für jede Art ist es überlebenswichtig viele verschiedene Nachkommen zu haben. </w:t>
            </w:r>
          </w:p>
        </w:tc>
        <w:tc>
          <w:tcPr>
            <w:tcW w:w="1529" w:type="dxa"/>
            <w:tcBorders>
              <w:bottom w:val="single" w:sz="2" w:space="0" w:color="000000"/>
              <w:insideH w:val="single" w:sz="2" w:space="0" w:color="000000"/>
            </w:tcBorders>
            <w:shd w:fill="auto" w:val="clear"/>
          </w:tcPr>
          <w:p>
            <w:pPr>
              <w:pStyle w:val="TextBody"/>
              <w:spacing w:lineRule="auto" w:line="276" w:before="0" w:after="140"/>
              <w:rPr/>
            </w:pPr>
            <w:r>
              <w:rPr/>
            </w:r>
          </w:p>
        </w:tc>
        <w:tc>
          <w:tcPr>
            <w:tcW w:w="816"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7293"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t>erläutern die Angepasstheit von Organismen als Folge einer Veränderung des Erbguts. (z. B. Birkenspanner)</w:t>
            </w:r>
          </w:p>
        </w:tc>
        <w:tc>
          <w:tcPr>
            <w:tcW w:w="1529" w:type="dxa"/>
            <w:tcBorders>
              <w:bottom w:val="single" w:sz="2" w:space="0" w:color="000000"/>
              <w:insideH w:val="single" w:sz="2" w:space="0" w:color="000000"/>
            </w:tcBorders>
            <w:shd w:fill="auto" w:val="clear"/>
          </w:tcPr>
          <w:p>
            <w:pPr>
              <w:pStyle w:val="TextBody"/>
              <w:spacing w:lineRule="auto" w:line="276" w:before="0" w:after="140"/>
              <w:rPr/>
            </w:pPr>
            <w:r>
              <w:rPr/>
            </w:r>
          </w:p>
        </w:tc>
        <w:tc>
          <w:tcPr>
            <w:tcW w:w="816"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7293"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t>erläutern Modifikation als Folge einer Anpassung an Umweltbedingungen (z. B. Hoch- und Tieflandform des Löwenzahns).</w:t>
              <w:br/>
            </w:r>
            <w:r>
              <w:rPr>
                <w:rStyle w:val="Emphasis"/>
              </w:rPr>
              <w:t xml:space="preserve">Die gleiche Pflanze kann sehr unterschiedlich aussehen. Der Standort entscheidet über das Wachstum. </w:t>
            </w:r>
          </w:p>
        </w:tc>
        <w:tc>
          <w:tcPr>
            <w:tcW w:w="1529" w:type="dxa"/>
            <w:tcBorders>
              <w:bottom w:val="single" w:sz="2" w:space="0" w:color="000000"/>
              <w:insideH w:val="single" w:sz="2" w:space="0" w:color="000000"/>
            </w:tcBorders>
            <w:shd w:fill="auto" w:val="clear"/>
          </w:tcPr>
          <w:p>
            <w:pPr>
              <w:pStyle w:val="TextBody"/>
              <w:spacing w:lineRule="auto" w:line="276" w:before="0" w:after="140"/>
              <w:rPr/>
            </w:pPr>
            <w:r>
              <w:rPr/>
            </w:r>
          </w:p>
        </w:tc>
        <w:tc>
          <w:tcPr>
            <w:tcW w:w="816"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r>
        <w:trPr/>
        <w:tc>
          <w:tcPr>
            <w:tcW w:w="7293" w:type="dxa"/>
            <w:tcBorders>
              <w:left w:val="single" w:sz="2" w:space="0" w:color="000000"/>
              <w:bottom w:val="single" w:sz="2" w:space="0" w:color="000000"/>
              <w:insideH w:val="single" w:sz="2" w:space="0" w:color="000000"/>
            </w:tcBorders>
            <w:shd w:fill="auto" w:val="clear"/>
          </w:tcPr>
          <w:p>
            <w:pPr>
              <w:pStyle w:val="TextBody"/>
              <w:spacing w:lineRule="auto" w:line="276" w:before="0" w:after="140"/>
              <w:rPr/>
            </w:pPr>
            <w:r>
              <w:rPr/>
              <w:t>beschreiben Evolutionsfaktoren, die auf den modernen Menschen wirken.</w:t>
              <w:br/>
            </w:r>
            <w:r>
              <w:rPr>
                <w:rStyle w:val="Emphasis"/>
              </w:rPr>
              <w:t>Durch den Klimawandel nimmt die Anbaufläche für Nutzpflanzen ab. Regional kann dies zur Unterversorgung führen. In der Kombination mit Unterversorgung können sich Krankheiten besser ausbreiten.</w:t>
            </w:r>
          </w:p>
        </w:tc>
        <w:tc>
          <w:tcPr>
            <w:tcW w:w="1529" w:type="dxa"/>
            <w:tcBorders>
              <w:bottom w:val="single" w:sz="2" w:space="0" w:color="000000"/>
              <w:insideH w:val="single" w:sz="2" w:space="0" w:color="000000"/>
            </w:tcBorders>
            <w:shd w:fill="auto" w:val="clear"/>
          </w:tcPr>
          <w:p>
            <w:pPr>
              <w:pStyle w:val="TextBody"/>
              <w:spacing w:lineRule="auto" w:line="276" w:before="0" w:after="140"/>
              <w:rPr/>
            </w:pPr>
            <w:r>
              <w:rPr/>
            </w:r>
          </w:p>
        </w:tc>
        <w:tc>
          <w:tcPr>
            <w:tcW w:w="816" w:type="dxa"/>
            <w:tcBorders>
              <w:bottom w:val="single" w:sz="2" w:space="0" w:color="000000"/>
              <w:right w:val="single" w:sz="2" w:space="0" w:color="000000"/>
              <w:insideH w:val="single" w:sz="2" w:space="0" w:color="000000"/>
              <w:insideV w:val="single" w:sz="2" w:space="0" w:color="000000"/>
            </w:tcBorders>
            <w:shd w:fill="auto" w:val="clear"/>
          </w:tcPr>
          <w:p>
            <w:pPr>
              <w:pStyle w:val="TextBody"/>
              <w:spacing w:lineRule="auto" w:line="276" w:before="0" w:after="140"/>
              <w:rPr/>
            </w:pPr>
            <w:r>
              <w:rPr/>
            </w:r>
          </w:p>
        </w:tc>
      </w:tr>
    </w:tbl>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de-DE" w:eastAsia="zh-CN" w:bidi="hi-IN"/>
      </w:rPr>
    </w:rPrDefault>
    <w:pPrDefault>
      <w:pPr>
        <w:widowControl/>
      </w:pPr>
    </w:pPrDefault>
  </w:docDefaults>
  <w:style w:type="paragraph" w:styleId="Normal">
    <w:name w:val="Normal"/>
    <w:qFormat/>
    <w:pPr>
      <w:widowControl/>
    </w:pPr>
    <w:rPr>
      <w:rFonts w:ascii="Liberation Serif" w:hAnsi="Liberation Serif" w:eastAsia="Noto Sans CJK SC" w:cs="Lohit Devanagari"/>
      <w:color w:val="auto"/>
      <w:kern w:val="2"/>
      <w:sz w:val="24"/>
      <w:szCs w:val="24"/>
      <w:lang w:val="de-DE" w:eastAsia="zh-CN" w:bidi="hi-IN"/>
    </w:rPr>
  </w:style>
  <w:style w:type="paragraph" w:styleId="Heading4">
    <w:name w:val="Heading 4"/>
    <w:basedOn w:val="Heading"/>
    <w:next w:val="TextBody"/>
    <w:qFormat/>
    <w:pPr>
      <w:spacing w:before="120" w:after="120"/>
      <w:outlineLvl w:val="3"/>
    </w:pPr>
    <w:rPr>
      <w:rFonts w:ascii="Liberation Serif" w:hAnsi="Liberation Serif" w:eastAsia="Noto Sans CJK SC" w:cs="Lohit Devanagari"/>
      <w:b/>
      <w:bCs/>
      <w:sz w:val="24"/>
      <w:szCs w:val="24"/>
    </w:rPr>
  </w:style>
  <w:style w:type="character" w:styleId="Emphasis">
    <w:name w:val="Emphasis"/>
    <w:qFormat/>
    <w:rPr>
      <w:i/>
      <w:iCs/>
    </w:rPr>
  </w:style>
  <w:style w:type="character" w:styleId="InternetLink">
    <w:name w:val="Internet Link"/>
    <w:rPr>
      <w:color w:val="000080"/>
      <w:u w:val="single"/>
      <w:lang w:val="zxx" w:eastAsia="zxx" w:bidi="zxx"/>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LibreOffice/6.0.7.3$Linux_X86_64 LibreOffice_project/00m0$Build-3</Application>
  <Pages>2</Pages>
  <Words>343</Words>
  <Characters>2372</Characters>
  <CharactersWithSpaces>2712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2021-01-08T14:01:22Z</dcterms:created>
  <dc:creator/>
  <dc:description/>
  <dc:language>de-DE</dc:language>
  <cp:lastModifiedBy/>
  <dcterms:modified xsi:type="dcterms:W3CDTF">2021-01-08T14:05:20Z</dcterms:modified>
  <cp:revision>1</cp:revision>
  <dc:subject/>
  <dc:title/>
</cp:coreProperties>
</file>